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ملخص الملف الشخصي</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مع خلفية قوية في التكنولوجيا وإدارة المشاريع، أكرس جهودي لمستقبل مستدام. في Zeeuwind، أجمع بين الابتكار والتعاون لجعل المنازل والشركات أكثر استدامة وتسريع التحول الطاقي.</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اللغات</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الهولندية</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الإنجليزية</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الألمانية</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الاهتمامات الشخصية</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أتمتة المنزل</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تطوير بايثون</w:t>
            </w:r>
            <w:r>
              <w:rPr>
                <w:rFonts w:ascii="Century Gothic" w:hAnsi="Century Gothic"/>
                <w:sz w:val="18"/>
                <w:szCs w:val="18"/>
                <w:lang w:val="en-US"/>
              </w:rPr>
              <w:br/>
            </w:r>
            <w:r>
              <w:rPr>
                <w:rFonts w:ascii="Century Gothic" w:hAnsi="Century Gothic"/>
                <w:sz w:val="18"/>
                <w:szCs w:val="18"/>
                <w:lang w:val="en-US"/>
              </w:rPr>
              <w:t>المساهمات المفتوحة المصدر</w:t>
            </w:r>
            <w:r>
              <w:rPr>
                <w:rFonts w:ascii="Century Gothic" w:hAnsi="Century Gothic"/>
                <w:sz w:val="18"/>
                <w:szCs w:val="18"/>
                <w:lang w:val="en-US"/>
              </w:rPr>
              <w:br/>
            </w:r>
            <w:r>
              <w:rPr>
                <w:rFonts w:ascii="Century Gothic" w:hAnsi="Century Gothic"/>
                <w:sz w:val="18"/>
                <w:szCs w:val="18"/>
                <w:lang w:val="en-US"/>
              </w:rPr>
              <w:t>الطاقة المتجددة والاستدامة</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الأنشطة الشخصية</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التنزه</w:t>
            </w:r>
            <w:r>
              <w:rPr>
                <w:rFonts w:ascii="Century Gothic" w:hAnsi="Century Gothic"/>
                <w:sz w:val="18"/>
                <w:szCs w:val="18"/>
                <w:lang w:val="en-US"/>
              </w:rPr>
              <w:br/>
            </w:r>
            <w:r>
              <w:rPr>
                <w:rFonts w:ascii="Century Gothic" w:hAnsi="Century Gothic"/>
                <w:sz w:val="18"/>
                <w:szCs w:val="18"/>
                <w:lang w:val="en-US"/>
              </w:rPr>
              <w:t>التجديف الداخلي</w:t>
            </w:r>
            <w:r>
              <w:rPr>
                <w:rFonts w:ascii="Century Gothic" w:hAnsi="Century Gothic"/>
                <w:sz w:val="18"/>
                <w:szCs w:val="18"/>
                <w:lang w:val="en-US"/>
              </w:rPr>
              <w:br/>
            </w:r>
            <w:r>
              <w:rPr>
                <w:rFonts w:ascii="Century Gothic" w:hAnsi="Century Gothic"/>
                <w:sz w:val="18"/>
                <w:szCs w:val="18"/>
                <w:lang w:val="en-US"/>
              </w:rPr>
              <w:t>متطوع كمدرب طاقة</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اتصال</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تيفدإس</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ثيو فان دير سلاويس</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مدير استدامة البيئة العمرانية | مفكر استراتيجي تقني | مستشار الاستدامة</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الملف الشخصي</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مع خلفية في تطوير البرمجيات وإدارة المنتجات، لطالما استخدمت التكنولوجيا لتحسين العمليات وتحقيق تأثير إيجابي. بصفتي مدير استدامة البيئة العمرانية في Zeeuwind / Energiek Zeeland، أركز على جعل المنازل والشركات أكثر استدامة بالتعاون مع البلديات والشركاء الآخرين. أقوم بتنسيق مشاريع الاستدامة الموجهة نحو الأحياء وأبحث في حلول مبتكرة مثل البطاريات المنزلية، أنظمة إدارة الطاقة (EMS) وشبكات التدفئة الصغيرة.</w:t>
                    <w:br/>
                    <w:t/>
                    <w:br/>
                    <w:t>أستخدم خبرتي التقنية لتطوير منصات رقمية تدعم أصحاب المنازل ومستشاري الطاقة في رحلاتهم نحو الاستدامة. من الأنظمة القائمة على واجهات برمجة التطبيقات (API) لبيانات الطاقة إلى تنفيذ حلول الطاقة الذكية، أعتقد أن التكنولوجيا تلعب دورًا حاسمًا في التحول الطاقي.</w:t>
                    <w:br/>
                    <w:t/>
                    <w:br/>
                    <w:t>على مر السنين، تعلمت أن النجاح لا يُقاس فقط بالتكنولوجيا أو أهداف المشاريع، ولكن أيضًا بالتأثير الإيجابي الذي نحققه - سواء من خلال استدامة حي سكني أو تحسين إدارة الطاقة.</w:t>
                    <w:br/>
                    <w:t/>
                    <w:br/>
                    <w:t>بجوهره، أنا جسر بين التكنولوجيا والاستدامة، وبين الاستراتيجية والتنفيذ، وبين الناس والابتكار. هدفي؟ تسريع التحول الطاقي وجعل الاستدامة في متناول الجميع.</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الخبرة العملية</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مدير استدامة البيئة العمرانية</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الحاضر</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فليسينجن، زيلاند، هولندا</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Zeeuwind، أقود جهود استدامة المنازل والشركات الصغيرة والمتوسطة من خلال Energiek Zeeland. أطور وأنسق نهجًا موجهًا نحو الأحياء ومشاريع الاستدامة، وأتعاون مع البلديات والأطراف الخارجية، وأضمن منصة رقمية مستدامة لأصحاب المنازل ومستشاري الطاقة. بالإضافة إلى ذلك، أبحث وأطبق حلولًا مبتكرة مثل البطاريات المنزلية، وأنظمة إدارة الطاقة، وشبكات التدفئة الصغيرة. يرتكز عملي على التعاون والحلول العملية لجعل الاستدامة في متناول الجميع.</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مشاريع الاستدامة, إدارة أصحاب المصلحة, الابتكار في انتقال الطاقة, التوجيه الاستراتيجي والتشغيلي, تطوير المنصات الرقمية</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الهند</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مالك منتجات في Maxxton، أقود فريقًا مكونًا من 18 مطورًا للخلفية والواجهة الأمامية، مصممين، ومحترفي ضمان الجودة في الهند. أزور الهند بانتظام وأحافظ على الاتصال اليومي لضمان سلاسة الاتصال وكفاءة سير العمل. أعمل مع عملاء مثل Roompot، Landal، وFarmcamps لتقديم حلول مخصصة. أركز على تطوير وحدات مالية آمنة ومختبرة جيدًا تعمل على تحسين العمليات وتعزيز تجربة المستخدم.</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المشاريع, قيادة الفريق, تطوير البرمجيات, منهجيات أجايل, مالك منتجات</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مالك منتجات</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Pay، كنت مدير منتجات / مالك منتجات أقود فريقًا من 8 مطورين. شمل دوري إنشاء برامج معالجة مدفوعات قوية وآمنة. بفضل مهاراتي في التفكير التحليلي، تحليل الأعمال، منهجيات أجايل، وتخطيط المشاريع، ضمنت أن حلولنا تلبي المعايير العالية. تعاونت مع بنوك ومنظمات كبرى مثل iDeal، IN3، وING لتقديم أنظمة دفع موثوقة وآمنة.</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المشاريع, تخطيط المشاريع, مالك منتجات, مهارات تحليلية, تحليل الأعمال, قيادة الفريق, منهجيات أجايل</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مدير مشاريع / قائد عملياتي</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مدير مشاريع / قائد عملياتي في XSARUS، قدت فريقًا من 8 مطورين لبناء متاجر ويب آمنة للعلامات التجارية الكبيرة مثل Bomont وNora. متخصص في التجارة الإلكترونية Magento، روجت للتعاون والابتكار والمنهجيات أجايل لتقديم تجارب تسوق عبر الإنترنت قوية. ضمنت أن المشاريع تلبي المواعيد النهائية والميزانيات وتوقعات الجودة مع الحفاظ على اتصال واضح مع العملاء.</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قيادة الفريق, إدارة المشاريع, إدارة العمليات, منهجيات أجايل, مالك منتجات</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يمكن العثور على المزيد من الخبرة العملية على صفحتي على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التعليم</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التصميم والتفاعل</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علوم الحاسوب وإدارة الأعمال</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المهارات التقنية</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صياغة Lotus Notes, LotusScript, ABAP-OO, Flex2.0, مالك منتجات, سكربت نموذج PDF, VisualBasic, PHP, ASP Classic, Python, ActionScript, Bash, Raspberry Pi, أتمتة المنزل</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الاهتمامات والأنشطة المهنية</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قيادة فرق تكنولوجيا المعلومات متعددة الوظائف لمشاريع البرمجيات العالمية.</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التدريب الأجايل وإدارة الفريق.</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إجراء ورش العمل والتدريب على منهجيات الأجايل.</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إدارة دورة حياة المنتج من المفهوم إلى الإطلاق.</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التعاون مع الفرق الدولية لتعزيز الابتكار.</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تحسين عمليات تطوير البرمجيات لزيادة الكفاءة.</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تنفيذ وإدارة إجراءات الأمن السيبراني في مشاريع تكنولوجيا المعلومات.</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إجراء مراجعات أمنية وتقييمات المخاطر لأنظمة البرمجيات.</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تقديم العروض في المؤتمرات (الصناعية) حول الاستدامة أو التكنولوجيا.</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الشهادات</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مشاريع الهوايات</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تحديث Python على الأنظمة مثل Raspberry Pi وUbuntu يمكن أن يكون غالبًا مهمة معقدة ومشكلة. يشمل هذا العملية عادةً التنقل عبر التبعيات المختلفة، التعامل مع النزاعات المحتملة، وضمان التوافق مع التطبيقات الموجودة. يمكن أن يكون هذا الأمر محبطًا بشكل خاص للمستخدمين الذين ليسوا على دراية عميقة بإدارة النظام. استجابةً لهذا التحدي، يوفر سكربتي حلاً مبسطًا. بواجهة سطر أوامر واحدة فقط، يمكنك تحديث إصدار Python الخاص بك بسهولة إلى أي إصدار تريده. يزيل هذا السكربت البسيط المشاكل والتعقيدات المعتادة المرتبطة بتحديثات Python، مما يجعله متاحًا وسهل الاستخدام للجميع، بغض النظر عن مستوى خبرتهم التقنية.</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مشروع تسعير الطاقة</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أوائل عام 2021، عندما كانت أسعار الطاقة ترتفع، اكتشفت فوائد أسعار الكهرباء السلبية مع صديق. أدى هذا إلى إنشاء ePrijzen، منصة تراقب الأسعار الديناميكية للطاقة. كتبت سكربتًا في بايثون ينبه عبر Telegram عندما تكون الأسعار منخفضة. ما بدأ كمشروع شخصي نما ليصبح خدمة لآلاف المستخدمين. باستخدام Docker وDigital Ocean، ضمنت القابلية للتوسع والاستقرار. بحلول نهاية عام 2023، وصل ePrijzen إلى 13000 مستخدم.</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تكوين Home Assistant على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يحتوي هذا المستودع على تكويني الشخصي لـ Home Assistant، المصمم لتحسين وأتمتة بيئتي المنزلية. يوفر نظرة عامة على ملفات YAML، السكربتات، والتكوينات الأخرى اللازمة. هذا الإعداد مخصص خصيصًا لاحتياجاتي، ولكنه يمكن أن يكون مصدر إلهام أو نقطة بداية للآخرين. الهدف هو تقديم نظرة على نظامي وتقديم أفكار وإرشادات لإنشاء بيئة Home Assistant الخاصة بك.</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الأدوار غير العملية</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مجموعة العمل على انتقال الطاقة في نيس</w:t>
                        </w:r>
                        <w:r>
                          <w:rPr>
                            <w:rFonts w:ascii="Century Gothic" w:hAnsi="Century Gothic"/>
                            <w:b/>
                            <w:bCs/>
                            <w:noProof/>
                            <w:sz w:val="18"/>
                            <w:szCs w:val="18"/>
                          </w:rPr>
                          <w:t xml:space="preserve"> - </w:t>
                        </w:r>
                        <w:r>
                          <w:rPr>
                            <w:rFonts w:ascii="Century Gothic" w:hAnsi="Century Gothic"/>
                            <w:b/>
                            <w:bCs/>
                            <w:noProof/>
                            <w:sz w:val="18"/>
                            <w:szCs w:val="18"/>
                          </w:rPr>
                          <w:t>رئيس</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الحاضر</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رئيس مجموعة العمل على الاستدامة، أتعاون مع أعضاء مجلس البلدية في بورسيلي. يشمل مجموعتنا رئيس تنفيذي سابق لشركة طاقة كبرى، وبناء، وعالم كيميائي. معًا، نساعد سكان نيس على إنشاء حلول سكنية مستدامة.</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مؤسسة مجلس القرية في نيس، بلدية بورسيلي</w:t>
                        </w:r>
                        <w:r>
                          <w:rPr>
                            <w:rFonts w:ascii="Century Gothic" w:hAnsi="Century Gothic"/>
                            <w:b/>
                            <w:bCs/>
                            <w:noProof/>
                            <w:sz w:val="18"/>
                            <w:szCs w:val="18"/>
                          </w:rPr>
                          <w:t xml:space="preserve"> - </w:t>
                        </w:r>
                        <w:r>
                          <w:rPr>
                            <w:rFonts w:ascii="Century Gothic" w:hAnsi="Century Gothic"/>
                            <w:b/>
                            <w:bCs/>
                            <w:noProof/>
                            <w:sz w:val="18"/>
                            <w:szCs w:val="18"/>
                          </w:rPr>
                          <w:t>رئيس</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الحاضر</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رئيس مجلس القرية، أتعاون بشكل وثيق مع أعضاء مجلس البلدية في بورسيلي للحفاظ على وتحسين جودة الحياة في نيس. يشمل دوري التخطيط الاستراتيجي والمشاركة المجتمعية لضمان أن تبقى قريتنا مكانًا رائعًا وممتعًا للعيش.</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